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B8" w:rsidRDefault="002502B8" w:rsidP="002502B8">
      <w:pPr>
        <w:spacing w:before="150" w:after="0" w:line="360" w:lineRule="atLeast"/>
        <w:ind w:firstLine="225"/>
        <w:jc w:val="center"/>
        <w:outlineLvl w:val="0"/>
        <w:rPr>
          <w:rFonts w:eastAsia="Times New Roman" w:cs="Times New Roman"/>
          <w:color w:val="060EF9"/>
          <w:kern w:val="36"/>
          <w:sz w:val="30"/>
          <w:szCs w:val="30"/>
          <w:lang w:eastAsia="ru-RU"/>
        </w:rPr>
      </w:pPr>
      <w:r w:rsidRPr="002502B8">
        <w:rPr>
          <w:rFonts w:eastAsia="Times New Roman" w:cs="Times New Roman"/>
          <w:color w:val="060EF9"/>
          <w:kern w:val="36"/>
          <w:sz w:val="30"/>
          <w:szCs w:val="30"/>
          <w:lang w:eastAsia="ru-RU"/>
        </w:rPr>
        <w:t> Информирование юридических лиц, индивидуальных предпринимателей по вопросам соблюдения обязательных требований</w:t>
      </w:r>
    </w:p>
    <w:p w:rsidR="002502B8" w:rsidRPr="002502B8" w:rsidRDefault="002502B8" w:rsidP="002502B8">
      <w:pPr>
        <w:spacing w:before="150" w:after="0" w:line="360" w:lineRule="atLeast"/>
        <w:ind w:firstLine="225"/>
        <w:jc w:val="center"/>
        <w:outlineLvl w:val="0"/>
        <w:rPr>
          <w:rFonts w:eastAsia="Times New Roman" w:cs="Times New Roman"/>
          <w:color w:val="060EF9"/>
          <w:kern w:val="36"/>
          <w:sz w:val="30"/>
          <w:szCs w:val="30"/>
          <w:lang w:eastAsia="ru-RU"/>
        </w:rPr>
      </w:pP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В Федеральный закон 294-ФЗ внесены изменения Федеральным законом от 3.06.2016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01.01.2017:</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Так предусмотрено:</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roofErr w:type="gramEnd"/>
    </w:p>
    <w:p w:rsid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3) 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
    <w:p w:rsidR="002502B8" w:rsidRPr="002502B8" w:rsidRDefault="002502B8" w:rsidP="002502B8">
      <w:pPr>
        <w:spacing w:before="150" w:after="0" w:line="324" w:lineRule="atLeast"/>
        <w:ind w:firstLine="225"/>
        <w:jc w:val="center"/>
        <w:outlineLvl w:val="1"/>
        <w:rPr>
          <w:rFonts w:eastAsia="Times New Roman" w:cs="Times New Roman"/>
          <w:color w:val="2F2FF4"/>
          <w:sz w:val="27"/>
          <w:szCs w:val="27"/>
          <w:lang w:eastAsia="ru-RU"/>
        </w:rPr>
      </w:pPr>
      <w:r w:rsidRPr="002502B8">
        <w:rPr>
          <w:rFonts w:eastAsia="Times New Roman" w:cs="Times New Roman"/>
          <w:b/>
          <w:bCs/>
          <w:color w:val="2F2FF4"/>
          <w:sz w:val="27"/>
          <w:lang w:eastAsia="ru-RU"/>
        </w:rPr>
        <w:t>Предостережение о недопустимости нарушения обязательных требований выдается при налич</w:t>
      </w:r>
      <w:proofErr w:type="gramStart"/>
      <w:r w:rsidRPr="002502B8">
        <w:rPr>
          <w:rFonts w:eastAsia="Times New Roman" w:cs="Times New Roman"/>
          <w:b/>
          <w:bCs/>
          <w:color w:val="2F2FF4"/>
          <w:sz w:val="27"/>
          <w:lang w:eastAsia="ru-RU"/>
        </w:rPr>
        <w:t>ии у о</w:t>
      </w:r>
      <w:proofErr w:type="gramEnd"/>
      <w:r w:rsidRPr="002502B8">
        <w:rPr>
          <w:rFonts w:eastAsia="Times New Roman" w:cs="Times New Roman"/>
          <w:b/>
          <w:bCs/>
          <w:color w:val="2F2FF4"/>
          <w:sz w:val="27"/>
          <w:lang w:eastAsia="ru-RU"/>
        </w:rPr>
        <w:t>ргана муниципального контроля сведений о готовящихся нарушениях или о признаках нарушений обязательных требований:</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lastRenderedPageBreak/>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2) содержащихся в поступивших обращениях и заявлениях (за исключением обращений и заявлений, авторство которых не подтверждено);</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xml:space="preserve">3) содержащихся в </w:t>
      </w:r>
      <w:proofErr w:type="gramStart"/>
      <w:r w:rsidRPr="002502B8">
        <w:rPr>
          <w:rFonts w:eastAsia="Times New Roman" w:cs="Times New Roman"/>
          <w:color w:val="000000"/>
          <w:sz w:val="27"/>
          <w:szCs w:val="27"/>
          <w:lang w:eastAsia="ru-RU"/>
        </w:rPr>
        <w:t>информации</w:t>
      </w:r>
      <w:proofErr w:type="gramEnd"/>
      <w:r w:rsidRPr="002502B8">
        <w:rPr>
          <w:rFonts w:eastAsia="Times New Roman" w:cs="Times New Roman"/>
          <w:color w:val="000000"/>
          <w:sz w:val="27"/>
          <w:szCs w:val="27"/>
          <w:lang w:eastAsia="ru-RU"/>
        </w:rPr>
        <w:t xml:space="preserve"> поступившей от органов государственной власти, органов местного самоуправления;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xml:space="preserve">4) содержащейся в </w:t>
      </w:r>
      <w:proofErr w:type="gramStart"/>
      <w:r w:rsidRPr="002502B8">
        <w:rPr>
          <w:rFonts w:eastAsia="Times New Roman" w:cs="Times New Roman"/>
          <w:color w:val="000000"/>
          <w:sz w:val="27"/>
          <w:szCs w:val="27"/>
          <w:lang w:eastAsia="ru-RU"/>
        </w:rPr>
        <w:t>информации</w:t>
      </w:r>
      <w:proofErr w:type="gramEnd"/>
      <w:r w:rsidRPr="002502B8">
        <w:rPr>
          <w:rFonts w:eastAsia="Times New Roman" w:cs="Times New Roman"/>
          <w:color w:val="000000"/>
          <w:sz w:val="27"/>
          <w:szCs w:val="27"/>
          <w:lang w:eastAsia="ru-RU"/>
        </w:rPr>
        <w:t xml:space="preserve"> поступившей из средств массовой информации.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xml:space="preserve">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w:t>
      </w:r>
      <w:proofErr w:type="gramStart"/>
      <w:r w:rsidRPr="002502B8">
        <w:rPr>
          <w:rFonts w:eastAsia="Times New Roman" w:cs="Times New Roman"/>
          <w:color w:val="000000"/>
          <w:sz w:val="27"/>
          <w:szCs w:val="27"/>
          <w:lang w:eastAsia="ru-RU"/>
        </w:rPr>
        <w:t>также</w:t>
      </w:r>
      <w:proofErr w:type="gramEnd"/>
      <w:r w:rsidRPr="002502B8">
        <w:rPr>
          <w:rFonts w:eastAsia="Times New Roman" w:cs="Times New Roman"/>
          <w:color w:val="000000"/>
          <w:sz w:val="27"/>
          <w:szCs w:val="27"/>
          <w:lang w:eastAsia="ru-RU"/>
        </w:rPr>
        <w:t xml:space="preserve"> если юридические лица и индивидуальные предприниматели ранее не привлекались к ответственности за нарушение соответствующих требований.</w:t>
      </w:r>
    </w:p>
    <w:p w:rsid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
    <w:p w:rsidR="002502B8" w:rsidRDefault="002502B8" w:rsidP="002502B8">
      <w:pPr>
        <w:spacing w:before="150" w:after="0" w:line="324" w:lineRule="atLeast"/>
        <w:ind w:firstLine="225"/>
        <w:jc w:val="center"/>
        <w:outlineLvl w:val="1"/>
        <w:rPr>
          <w:rFonts w:eastAsia="Times New Roman" w:cs="Times New Roman"/>
          <w:b/>
          <w:bCs/>
          <w:color w:val="2F2FF4"/>
          <w:sz w:val="27"/>
          <w:lang w:eastAsia="ru-RU"/>
        </w:rPr>
      </w:pPr>
      <w:r w:rsidRPr="002502B8">
        <w:rPr>
          <w:rFonts w:eastAsia="Times New Roman" w:cs="Times New Roman"/>
          <w:b/>
          <w:bCs/>
          <w:color w:val="2F2FF4"/>
          <w:sz w:val="27"/>
          <w:lang w:eastAsia="ru-RU"/>
        </w:rPr>
        <w:t>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10.02.2017 № 166.</w:t>
      </w:r>
    </w:p>
    <w:p w:rsidR="002502B8" w:rsidRPr="002502B8" w:rsidRDefault="002502B8" w:rsidP="002502B8">
      <w:pPr>
        <w:spacing w:before="150" w:after="0" w:line="324" w:lineRule="atLeast"/>
        <w:ind w:firstLine="225"/>
        <w:jc w:val="center"/>
        <w:outlineLvl w:val="1"/>
        <w:rPr>
          <w:rFonts w:eastAsia="Times New Roman" w:cs="Times New Roman"/>
          <w:color w:val="2F2FF4"/>
          <w:sz w:val="27"/>
          <w:szCs w:val="27"/>
          <w:lang w:eastAsia="ru-RU"/>
        </w:rPr>
      </w:pP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xml:space="preserve">1. Утвержденными Правилами </w:t>
      </w:r>
      <w:proofErr w:type="gramStart"/>
      <w:r w:rsidRPr="002502B8">
        <w:rPr>
          <w:rFonts w:eastAsia="Times New Roman" w:cs="Times New Roman"/>
          <w:color w:val="000000"/>
          <w:sz w:val="27"/>
          <w:szCs w:val="27"/>
          <w:lang w:eastAsia="ru-RU"/>
        </w:rPr>
        <w:t>определены</w:t>
      </w:r>
      <w:proofErr w:type="gramEnd"/>
      <w:r w:rsidRPr="002502B8">
        <w:rPr>
          <w:rFonts w:eastAsia="Times New Roman" w:cs="Times New Roman"/>
          <w:color w:val="000000"/>
          <w:sz w:val="27"/>
          <w:szCs w:val="27"/>
          <w:lang w:eastAsia="ru-RU"/>
        </w:rPr>
        <w:t xml:space="preserve"> в том числе:</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2) срок составления и направления предостережения;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3) сведения, указываемые в предостережении, в возражении на предостережение и в уведомлении об исполнении предостережения;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lastRenderedPageBreak/>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b/>
          <w:bCs/>
          <w:color w:val="000000"/>
          <w:sz w:val="27"/>
          <w:lang w:eastAsia="ru-RU"/>
        </w:rPr>
        <w:t>Следует обратить внимание</w:t>
      </w:r>
      <w:r w:rsidRPr="002502B8">
        <w:rPr>
          <w:rFonts w:eastAsia="Times New Roman" w:cs="Times New Roman"/>
          <w:color w:val="000000"/>
          <w:sz w:val="27"/>
          <w:szCs w:val="27"/>
          <w:lang w:eastAsia="ru-RU"/>
        </w:rPr>
        <w:t xml:space="preserve">,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w:t>
      </w:r>
      <w:proofErr w:type="spellStart"/>
      <w:r w:rsidRPr="002502B8">
        <w:rPr>
          <w:rFonts w:eastAsia="Times New Roman" w:cs="Times New Roman"/>
          <w:color w:val="000000"/>
          <w:sz w:val="27"/>
          <w:szCs w:val="27"/>
          <w:lang w:eastAsia="ru-RU"/>
        </w:rPr>
        <w:t>КоАП</w:t>
      </w:r>
      <w:proofErr w:type="spellEnd"/>
      <w:r w:rsidRPr="002502B8">
        <w:rPr>
          <w:rFonts w:eastAsia="Times New Roman" w:cs="Times New Roman"/>
          <w:color w:val="000000"/>
          <w:sz w:val="27"/>
          <w:szCs w:val="27"/>
          <w:lang w:eastAsia="ru-RU"/>
        </w:rPr>
        <w:t xml:space="preserve"> РФ «Непредставление сведений (информации)».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2. Согласно внесенным изменениям в ст. 10 Федерального закона № 294-ФЗ основаниями для проведения внеплановой проверки являются: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2502B8">
        <w:rPr>
          <w:rFonts w:eastAsia="Times New Roman" w:cs="Times New Roman"/>
          <w:color w:val="000000"/>
          <w:sz w:val="27"/>
          <w:szCs w:val="27"/>
          <w:lang w:eastAsia="ru-RU"/>
        </w:rPr>
        <w:t xml:space="preserve"> массовой информации о следующих фактах:</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502B8">
        <w:rPr>
          <w:rFonts w:eastAsia="Times New Roman" w:cs="Times New Roman"/>
          <w:color w:val="000000"/>
          <w:sz w:val="27"/>
          <w:szCs w:val="27"/>
          <w:lang w:eastAsia="ru-RU"/>
        </w:rPr>
        <w:t xml:space="preserve"> государства, а также угрозы чрезвычайных ситуаций природного и техногенного характера;</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lastRenderedPageBreak/>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502B8">
        <w:rPr>
          <w:rFonts w:eastAsia="Times New Roman" w:cs="Times New Roman"/>
          <w:color w:val="000000"/>
          <w:sz w:val="27"/>
          <w:szCs w:val="27"/>
          <w:lang w:eastAsia="ru-RU"/>
        </w:rPr>
        <w:t xml:space="preserve"> также возникновение чрезвычайных ситуаций природного и техногенного характера;</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2502B8">
        <w:rPr>
          <w:rFonts w:eastAsia="Times New Roman" w:cs="Times New Roman"/>
          <w:color w:val="000000"/>
          <w:sz w:val="27"/>
          <w:szCs w:val="27"/>
          <w:lang w:eastAsia="ru-RU"/>
        </w:rPr>
        <w:t xml:space="preserve"> федерального государственного контроля (надзора), муниципального контроля;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Таким образом, основанием для проведения внеплановой проверки с 01.01.2017.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roofErr w:type="gramEnd"/>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b/>
          <w:bCs/>
          <w:color w:val="000000"/>
          <w:sz w:val="27"/>
          <w:lang w:eastAsia="ru-RU"/>
        </w:rPr>
        <w:t>3. Введено понятие предварительной проверки.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lastRenderedPageBreak/>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502B8" w:rsidRPr="002502B8" w:rsidRDefault="002502B8" w:rsidP="002502B8">
      <w:pPr>
        <w:spacing w:before="150" w:after="0" w:line="324" w:lineRule="atLeast"/>
        <w:ind w:firstLine="225"/>
        <w:jc w:val="center"/>
        <w:outlineLvl w:val="1"/>
        <w:rPr>
          <w:rFonts w:eastAsia="Times New Roman" w:cs="Times New Roman"/>
          <w:color w:val="2F2FF4"/>
          <w:sz w:val="27"/>
          <w:szCs w:val="27"/>
          <w:lang w:eastAsia="ru-RU"/>
        </w:rPr>
      </w:pPr>
      <w:r w:rsidRPr="002502B8">
        <w:rPr>
          <w:rFonts w:eastAsia="Times New Roman" w:cs="Times New Roman"/>
          <w:b/>
          <w:bCs/>
          <w:color w:val="2F2FF4"/>
          <w:sz w:val="27"/>
          <w:lang w:eastAsia="ru-RU"/>
        </w:rPr>
        <w:t>Разъяснения неоднозначных или неясных для подконтрольных лиц обязательных требований</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proofErr w:type="gramStart"/>
      <w:r w:rsidRPr="002502B8">
        <w:rPr>
          <w:rFonts w:eastAsia="Times New Roman" w:cs="Times New Roman"/>
          <w:color w:val="000000"/>
          <w:sz w:val="27"/>
          <w:szCs w:val="27"/>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294 - 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2502B8">
        <w:rPr>
          <w:rFonts w:eastAsia="Times New Roman" w:cs="Times New Roman"/>
          <w:color w:val="000000"/>
          <w:sz w:val="27"/>
          <w:szCs w:val="27"/>
          <w:lang w:eastAsia="ru-RU"/>
        </w:rPr>
        <w:t xml:space="preserve"> в соответствии с законодательством Российской Федерации.</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b/>
          <w:bCs/>
          <w:color w:val="000000"/>
          <w:sz w:val="27"/>
          <w:lang w:eastAsia="ru-RU"/>
        </w:rPr>
        <w:t xml:space="preserve">Несоблюдение вышеуказанных требований образует составы административного правонарушения, предусмотренные гл. 19 </w:t>
      </w:r>
      <w:proofErr w:type="spellStart"/>
      <w:r w:rsidRPr="002502B8">
        <w:rPr>
          <w:rFonts w:eastAsia="Times New Roman" w:cs="Times New Roman"/>
          <w:b/>
          <w:bCs/>
          <w:color w:val="000000"/>
          <w:sz w:val="27"/>
          <w:lang w:eastAsia="ru-RU"/>
        </w:rPr>
        <w:t>КоАП</w:t>
      </w:r>
      <w:proofErr w:type="spellEnd"/>
      <w:r w:rsidRPr="002502B8">
        <w:rPr>
          <w:rFonts w:eastAsia="Times New Roman" w:cs="Times New Roman"/>
          <w:b/>
          <w:bCs/>
          <w:color w:val="000000"/>
          <w:sz w:val="27"/>
          <w:lang w:eastAsia="ru-RU"/>
        </w:rPr>
        <w:t xml:space="preserve"> РФ, а именно:</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xml:space="preserve">- статья 19.5. </w:t>
      </w:r>
      <w:proofErr w:type="gramStart"/>
      <w:r w:rsidRPr="002502B8">
        <w:rPr>
          <w:rFonts w:eastAsia="Times New Roman" w:cs="Times New Roman"/>
          <w:color w:val="000000"/>
          <w:sz w:val="27"/>
          <w:szCs w:val="27"/>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2502B8" w:rsidRPr="002502B8" w:rsidRDefault="002502B8" w:rsidP="002502B8">
      <w:pPr>
        <w:spacing w:before="150" w:after="150" w:line="240" w:lineRule="auto"/>
        <w:ind w:right="75" w:firstLine="225"/>
        <w:jc w:val="both"/>
        <w:rPr>
          <w:rFonts w:eastAsia="Times New Roman" w:cs="Times New Roman"/>
          <w:color w:val="000000"/>
          <w:sz w:val="27"/>
          <w:szCs w:val="27"/>
          <w:lang w:eastAsia="ru-RU"/>
        </w:rPr>
      </w:pPr>
      <w:r w:rsidRPr="002502B8">
        <w:rPr>
          <w:rFonts w:eastAsia="Times New Roman" w:cs="Times New Roman"/>
          <w:color w:val="000000"/>
          <w:sz w:val="27"/>
          <w:szCs w:val="27"/>
          <w:lang w:eastAsia="ru-RU"/>
        </w:rPr>
        <w:t>- статья 19.7. Непредставление сведений (информации).</w:t>
      </w:r>
    </w:p>
    <w:p w:rsidR="00201DDF" w:rsidRDefault="00201DDF"/>
    <w:sectPr w:rsidR="00201DDF" w:rsidSect="00201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2B8"/>
    <w:rsid w:val="00201DDF"/>
    <w:rsid w:val="0021018C"/>
    <w:rsid w:val="002502B8"/>
    <w:rsid w:val="0068055C"/>
    <w:rsid w:val="00AE32A5"/>
    <w:rsid w:val="00C71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5C"/>
    <w:rPr>
      <w:rFonts w:ascii="Times New Roman" w:hAnsi="Times New Roman"/>
      <w:sz w:val="28"/>
    </w:rPr>
  </w:style>
  <w:style w:type="paragraph" w:styleId="1">
    <w:name w:val="heading 1"/>
    <w:basedOn w:val="a"/>
    <w:link w:val="10"/>
    <w:uiPriority w:val="9"/>
    <w:qFormat/>
    <w:rsid w:val="002502B8"/>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2502B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02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02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502B8"/>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502B8"/>
    <w:rPr>
      <w:b/>
      <w:bCs/>
    </w:rPr>
  </w:style>
</w:styles>
</file>

<file path=word/webSettings.xml><?xml version="1.0" encoding="utf-8"?>
<w:webSettings xmlns:r="http://schemas.openxmlformats.org/officeDocument/2006/relationships" xmlns:w="http://schemas.openxmlformats.org/wordprocessingml/2006/main">
  <w:divs>
    <w:div w:id="20828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2020-08-04T07:29:00Z</dcterms:created>
  <dcterms:modified xsi:type="dcterms:W3CDTF">2020-08-04T07:29:00Z</dcterms:modified>
</cp:coreProperties>
</file>